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00"/>
        <w:jc w:val="center"/>
        <w:rPr/>
      </w:pPr>
      <w:r>
        <w:rPr>
          <w:b/>
          <w:bCs/>
        </w:rPr>
        <w:t>Інформаційний бюлетень</w:t>
      </w:r>
    </w:p>
    <w:p>
      <w:pPr>
        <w:pStyle w:val="Normal"/>
        <w:spacing w:before="0" w:after="100"/>
        <w:jc w:val="center"/>
        <w:rPr/>
      </w:pPr>
      <w:r>
        <w:rPr>
          <w:b/>
          <w:bCs/>
        </w:rPr>
        <w:t>про складені Національним агентством з питань запобігання корупції протоколи про адміністративні правопорушення, внесені приписи та матеріали щодо ознак порушень вимог антикорупційного законодавства</w:t>
      </w:r>
    </w:p>
    <w:p>
      <w:pPr>
        <w:pStyle w:val="Normal"/>
        <w:spacing w:before="0" w:after="200"/>
        <w:jc w:val="center"/>
        <w:rPr>
          <w:b/>
          <w:bCs/>
          <w:lang w:val="en-US"/>
        </w:rPr>
      </w:pPr>
      <w:bookmarkStart w:id="0" w:name="__DdeLink__66_3722540383"/>
      <w:r>
        <w:rPr>
          <w:b/>
          <w:bCs/>
        </w:rPr>
        <w:t>протягом ІІІ кварталу 2026 року</w:t>
      </w:r>
      <w:bookmarkEnd w:id="0"/>
    </w:p>
    <w:p>
      <w:pPr>
        <w:pStyle w:val="Normal"/>
        <w:spacing w:before="0" w:after="200"/>
        <w:jc w:val="center"/>
        <w:rPr>
          <w:sz w:val="16"/>
          <w:szCs w:val="16"/>
        </w:rPr>
      </w:pPr>
      <w:r>
        <w:rPr>
          <w:sz w:val="16"/>
          <w:szCs w:val="16"/>
        </w:rPr>
      </w:r>
    </w:p>
    <w:p>
      <w:pPr>
        <w:pStyle w:val="Normal"/>
        <w:ind w:firstLine="567"/>
        <w:jc w:val="both"/>
        <w:rPr/>
      </w:pPr>
      <w:r>
        <w:rPr/>
        <w:t xml:space="preserve">На виконання підпункту 1 пункту 2 розділу II додатка 4 до Антикорупційної програми Міністерства внутрішніх справ на 2026-2028 роки, затвердженої </w:t>
      </w:r>
      <w:r>
        <w:rPr>
          <w:rFonts w:cs="Times New Roman"/>
          <w:sz w:val="28"/>
          <w:szCs w:val="28"/>
        </w:rPr>
        <w:t>наказом МВС від 17 березня 2026 року № 253</w:t>
      </w:r>
      <w:r>
        <w:rPr/>
        <w:t xml:space="preserve">, Управлінням запобігання корупції МВС проведено аналіз інформації щодо складених Національним агентством з питань запобігання корупції (далі – НАЗК) протоколів про адміністративні правопорушення, внесених приписів та матеріалів щодо ознак порушень вимог антикорупційного законодавства протягом ІІІ кварталу 2026 року. </w:t>
      </w:r>
    </w:p>
    <w:p>
      <w:pPr>
        <w:pStyle w:val="Normal"/>
        <w:ind w:firstLine="567"/>
        <w:jc w:val="both"/>
        <w:rPr/>
      </w:pPr>
      <w:r>
        <w:rPr/>
        <w:t>З метою уникнення можливих порушень вимог антикорупційного законодавства щодо працівників системи МВС наводимо приклади ситуацій, розміщених на офіційному вебсайті НАЗК.</w:t>
      </w:r>
    </w:p>
    <w:p>
      <w:pPr>
        <w:pStyle w:val="Normal"/>
        <w:spacing w:before="0" w:after="160"/>
        <w:ind w:firstLine="708"/>
        <w:jc w:val="both"/>
        <w:rPr/>
      </w:pPr>
      <w:r>
        <w:rPr/>
      </w:r>
    </w:p>
    <w:p>
      <w:pPr>
        <w:pStyle w:val="Normal"/>
        <w:spacing w:before="160" w:after="160"/>
        <w:jc w:val="center"/>
        <w:rPr/>
      </w:pPr>
      <w:r>
        <w:rPr>
          <w:b/>
          <w:bCs/>
        </w:rPr>
        <w:t>Щодо фінансового контролю та моніторингу способу життя</w:t>
      </w:r>
    </w:p>
    <w:p>
      <w:pPr>
        <w:pStyle w:val="Normal"/>
        <w:ind w:firstLine="709"/>
        <w:jc w:val="both"/>
        <w:rPr/>
      </w:pPr>
      <w:r>
        <w:rPr>
          <w:b/>
          <w:bCs/>
        </w:rPr>
        <w:t xml:space="preserve">1. </w:t>
      </w:r>
      <w:r>
        <w:rPr/>
        <w:t>За результатами повних перевірок декларацій за 8 місяців 2026 року (станом на вересень) НАЗК завершило 574 повних перевірки. Порушення виявлено у 571 декларації: у 321 – ознаки недостовірних відомостей на понад 2,424 млрд грн; у шести – ознаки необґрунтованості активів на понад 27 млн грн; у восьми – ознаки незаконного збагачення на понад 122 млн грн. Ефективність – 59 %. У серпні скеровано 31 обґрунтований висновок «18 – за статтею 366-2</w:t>
        <w:br/>
        <w:t>Кримінального кодексу України (далі – КК України), 13 – за частиною четвертою статті 172-6 Кодексу України про адміністративні правопорушення (далі – КУпАП)». Загалом з початку 2026 року до компетентних органів скеровано 293 обґрунтовані висновки; органи досудового розслідування розпочали 125 кримінальних проваджень, матеріали ще 43 перевірок долучено до раніше розпочатих проваджень.</w:t>
      </w:r>
    </w:p>
    <w:p>
      <w:pPr>
        <w:pStyle w:val="Normal"/>
        <w:ind w:firstLine="709"/>
        <w:jc w:val="both"/>
        <w:rPr/>
      </w:pPr>
      <w:r>
        <w:rPr>
          <w:b/>
          <w:bCs/>
        </w:rPr>
        <w:t xml:space="preserve">2. </w:t>
      </w:r>
      <w:r>
        <w:rPr/>
        <w:t>Серед ТОП-5 декларацій з найбільшими порушеннями, завершених у серпні 2026 року, – декларація колишнього Міністра юстиції України. У декларації при звільненні за період з 01.01.2025 по 19.11.2025 встановлено ознаки недостовірних відомостей на загальну суму понад 55,5 млн грн. Зокрема, експосадовець не задекларував: житловий будинок вартістю 42,9 млн грн, яким користувався у звітному періоді; доходи дітей, отримані у вигляді подарунка – оплати їхнього навчання у Швейцарії на загальну суму 12,4 млн грн; 100 тис. грн доходу у вигляді процентів; грошові кошти на банківських рахунках на понад 98 тис. грн. Національне антикорупційне бюро України розпочало досудове розслідування за статтею 366-2 КК України.</w:t>
      </w:r>
    </w:p>
    <w:p>
      <w:pPr>
        <w:pStyle w:val="Normal"/>
        <w:ind w:firstLine="709"/>
        <w:jc w:val="both"/>
        <w:rPr/>
      </w:pPr>
      <w:r>
        <w:rPr>
          <w:b/>
          <w:bCs/>
        </w:rPr>
        <w:t xml:space="preserve">3. </w:t>
      </w:r>
      <w:r>
        <w:rPr/>
        <w:t>У декларації начальниці Головного управління Держпродспоживслужби в Полтавській області / депутатки Полтавської обласної ради за 2025 рік встановлено ознаки недостовірних відомостей на понад 8,7 млн грн. Посадовиця не зазначила відомостей про особу, з якою проживала, будинок у Полтаві вартістю понад 4,6 млн грн (де проживала разом із членами сім’ї), а також два автомобілі, що належать членам її сім’ї: Lexus GX 460 вартістю понад 1,6 млн грн та BYD вартістю 1,4 млн грн. Крім того, у декларації не відображено доходи члена сім’ї на суму понад 601 тис. грн та зазначено недостовірні відомості про готівкові кошти члена сім’ї на суму понад 411 тис. грн. Матеріали повної перевірки долучено до матеріалів кримінального провадження Державного бюро розслідувань.</w:t>
      </w:r>
    </w:p>
    <w:p>
      <w:pPr>
        <w:pStyle w:val="Normal"/>
        <w:ind w:firstLine="709"/>
        <w:jc w:val="both"/>
        <w:rPr/>
      </w:pPr>
      <w:r>
        <w:rPr>
          <w:b/>
          <w:bCs/>
        </w:rPr>
        <w:t xml:space="preserve">4. </w:t>
      </w:r>
      <w:r>
        <w:rPr/>
        <w:t>Державне бюро розслідувань (далі – ДБР) за процесуального керівництва Львівської спеціалізованої прокуратури у сфері оборони Західного регіону, у тому числі за матеріалами повної перевірки декларації НАЗК, скерувало до суду обвинувальний акт стосовно колишнього керівника одного з районних відділів Львівського обласного ТЦК та СП. Йому інкримінують внесення завідомо недостовірних відомостей до декларації за 2024 рік на понад 4,5 млн грн. Зокрема, експосадовець не зазначив майнові права на квартиру в новобудові у Львові вартістю понад 1,8 млн грн, оформлені на його дружину</w:t>
        <w:br/>
        <w:t>(на майно накладено арешт). Крім того, він суттєво завищив суму власних грошових заощаджень: у декларації зазначив 2,5 млн грн готівкою, хоча відповідно до підтверджених доходів міг накопичити не більше 684 тис. грн. Також у декларації зазначено, що дружина має готівкові кошти у розмірі 40 тис. дол. США, тоді як її доходи з підтверджених джерел дозволяли накопичити не більше 20 тис. дол. США. Дії кваліфіковано за частиною першою статті</w:t>
        <w:br/>
        <w:t>366-2 КК України.</w:t>
      </w:r>
    </w:p>
    <w:p>
      <w:pPr>
        <w:pStyle w:val="Normal"/>
        <w:ind w:firstLine="709"/>
        <w:jc w:val="both"/>
        <w:rPr/>
      </w:pPr>
      <w:r>
        <w:rPr>
          <w:b/>
          <w:bCs/>
        </w:rPr>
        <w:t xml:space="preserve">5. </w:t>
      </w:r>
      <w:r>
        <w:rPr/>
        <w:t>У декларації ексначальника митного поста «Білгород-Дністровський» Одеської митниці за 2024 рік встановлено ознаки недостовірних відомостей на понад 4,5 млн грн. Посадовець не задекларував квартиру в Ужгороді вартістю понад 1,4 млн грн та автомобіль BMW X5 вартістю близько 3 млн грн. Активи оформлені на його вітчима та матір, проте їх бенефіціарним власником є сам посадовець. Крім того, декларант зазначив недостовірні відомості щодо коштів на його банківських рахунках на понад 40 тис. грн. Матеріали повної перевірки долучено до матеріалів кримінального провадження ДБР.</w:t>
      </w:r>
    </w:p>
    <w:p>
      <w:pPr>
        <w:pStyle w:val="Normal"/>
        <w:ind w:firstLine="709"/>
        <w:jc w:val="both"/>
        <w:rPr/>
      </w:pPr>
      <w:r>
        <w:rPr>
          <w:b/>
          <w:bCs/>
        </w:rPr>
        <w:t xml:space="preserve">6. </w:t>
      </w:r>
      <w:r>
        <w:rPr/>
        <w:t>У декларації колишнього старшого інспектора з особливих доручень відділу превентивної діяльності ГУ НП в АР Крим та м. Севастополі за 2025 рік встановлено ознаки незаконного збагачення на понад 10,9 млн грн та ознаки недостовірних відомостей на понад 11,4 млн грн. Зокрема, посадовець не зазначив у декларації готівкові кошти у розмірі 100 тис. дол. США та 150 тис. євро, які було вилучено органом досудового розслідування під час обшуку за місцем його проживання. Законність походження цих коштів не підтверджена. Обґрунтований висновок скеровано до ДБР.</w:t>
      </w:r>
    </w:p>
    <w:p>
      <w:pPr>
        <w:pStyle w:val="Normal"/>
        <w:ind w:firstLine="709"/>
        <w:jc w:val="both"/>
        <w:rPr/>
      </w:pPr>
      <w:r>
        <w:rPr>
          <w:b/>
          <w:bCs/>
        </w:rPr>
        <w:t xml:space="preserve">7. </w:t>
      </w:r>
      <w:r>
        <w:rPr/>
        <w:t>Органи досудового розслідування у серпні 2026 року скерували до суду обвинувальні акти у кримінальних провадженнях, у тому числі за матеріалами повних перевірок декларацій НАЗК, за декларування недостовірних відомостей (стаття 366-2 КК України) стосовно: ексначальниці Управління державної реєстрації Центрально-Західного міжрегіонального управління Міністерства юстиції (м. Хмельницький) – понад 19,5 млн грн (рахунок в австрійському банку з понад 534,4 тис. дол. США); начальника територіального сервісного центру МВС № 5346 з Полтавщини – майже 10 млн грн (декларації за 2023 та 2024 роки); депутата Одеської обласної ради – понад 58 млн грн; депутата Ямпільської селищної ради – понад 13,8 млн грн; завідувача КНП «Міська лікарня № 8» Запорізької міської ради – понад 3,3 млн грн; депутатів Української сільської ради – понад 17 млн грн та понад 8,5 млн грн; депутата Броварської районної ради – понад 8,5 млн грн; депутата Славутської міської ради Хмельницької області – понад 2,8 млн грн.</w:t>
      </w:r>
    </w:p>
    <w:p>
      <w:pPr>
        <w:pStyle w:val="Normal"/>
        <w:ind w:firstLine="709"/>
        <w:jc w:val="both"/>
        <w:rPr/>
      </w:pPr>
      <w:r>
        <w:rPr>
          <w:b/>
          <w:bCs/>
        </w:rPr>
        <w:t xml:space="preserve">8. </w:t>
      </w:r>
      <w:r>
        <w:rPr/>
        <w:t>На підставі матеріалів НАЗК, а також самостійно зібраних доказів САП звернулася до ВАКС з позовом про визнання необґрунтованими активів депутата однієї з районних рад на Київщині на понад 4,7 млн грн. За результатами моніторингу способу життя посадовця НАЗК встановило, що у 2021–2025 роках він придбав дві квартири, дві земельні ділянки, приватний будинок під Києвом, а також автівки «VOLKSWAGEN TOUAREG» та «TOYOTA LAND CRUISER PRADO 150». Частину активів депутат оформив на себе, іншу – на дружину та сина. Аналіз доходів і видатків депутата та членів його сім’ї свідчить, що їх законних доходів для набуття зазначених активів було недостатньо. Суд у порядку забезпечення позову наклав арешт на зазначене майно.</w:t>
      </w:r>
    </w:p>
    <w:p>
      <w:pPr>
        <w:pStyle w:val="Normal"/>
        <w:ind w:firstLine="709"/>
        <w:jc w:val="both"/>
        <w:rPr/>
      </w:pPr>
      <w:r>
        <w:rPr>
          <w:b/>
          <w:bCs/>
        </w:rPr>
        <w:t xml:space="preserve">9. </w:t>
      </w:r>
      <w:r>
        <w:rPr/>
        <w:t>Прокурор Спеціальної антикорупційної прокуратури (далі – САП), у тому числі на підставі матеріалів повної перевірки декларації, проведеної НАЗК, та розслідування ДБР, звернувся до Вищого антикорупційного суду</w:t>
        <w:br/>
        <w:t>(далі – ВАКС)з позовом про визнання необґрунтованими активів посадовця Управління Державного агентства меліорації та рибного господарства у м. Києві та Київській області. Йдеться про квартиру в Броварах Київської області площею 98,2 кв. м вартістю 3,4 млн грн, яку у грудні 2024 року придбали декларант із дружиною. Нерухомість була оформлена на ім’я дружини, проте подружжя володіє нею на праві спільної сумісної власності. За результатами аналізу доходів і витрат родини встановлено, що їхні законні доходи не давали можливості придбати актив за вказаною вартістю. Пояснення декларанта про придбання нерухомості за рахунок коштів, нібито отриманих у позику від третьої особи, спростовано. Позов стосується стягнення в дохід держави понад</w:t>
        <w:br/>
        <w:t>2,9 млн грн.</w:t>
      </w:r>
    </w:p>
    <w:p>
      <w:pPr>
        <w:pStyle w:val="Normal"/>
        <w:ind w:firstLine="709"/>
        <w:jc w:val="both"/>
        <w:rPr/>
      </w:pPr>
      <w:r>
        <w:rPr>
          <w:b/>
          <w:bCs/>
        </w:rPr>
        <w:t xml:space="preserve">10. </w:t>
      </w:r>
      <w:r>
        <w:rPr/>
        <w:t>За матеріалами НАЗК Спеціалізована антикорупційна прокуратура звернулася до ВАКС з позовом про визнання необґрунтованими активів посадовця Державного агентства з розвитку меліорації, рибного господарства та продовольчих програм на понад 9 млн грн. Йдеться про три двокімнатні квартири в житловому комплексі в столиці (кожна площею близько 70 кв. м). Одну з них заступник начальника управління – начальник відділу рибоохоронного патруля Азовського басейнового управління Держрибагентства придбав на своє ім’я у лютому 2025 року. Ще дві у серпні того ж року були оформлені на його колишню дружину та сестру. Вартість квартир у договорах купівлі-продажу була суттєво нижчою за мінімальну ринкову. Під час моніторингу способу життя встановлено, що попри оформлення частини нерухомості на родичок, фактично нею розпоряджався він сам (виставляв на продаж, організовував ремонт, оплачував матеріали). Ексдружина та сестра участі в продажу та облаштуванні не брали. Аналіз доходів і витрат підтвердив відсутність достатніх законних доходів.</w:t>
      </w:r>
    </w:p>
    <w:p>
      <w:pPr>
        <w:pStyle w:val="Normal"/>
        <w:ind w:firstLine="709"/>
        <w:jc w:val="both"/>
        <w:rPr/>
      </w:pPr>
      <w:r>
        <w:rPr>
          <w:b/>
          <w:bCs/>
        </w:rPr>
        <w:t xml:space="preserve">11. </w:t>
      </w:r>
      <w:r>
        <w:rPr/>
        <w:t>ВАКС частково задовольнив позов прокурора САП та визнав необґрунтованими активи на загальну суму майже 6,5 млн грн, набуті екскерівником однієї з окружних прокуратур Харкова та його дружиною. Під час моніторингу способу життя НАЗК встановило, що у 2022–2024 роках родина прокурора набула у власність дві квартири в Харкові, автомобілі Lexus LX 2016 року випуску та Mercedes-Benz GLE 43 AMG 2017 року випуску, а також грошові активи. Порівнявши вартість набутого майна з доходами родини, НАЗК встановило невідповідність на понад 7,5 млн грн. Позов ґрунтувався на матеріалах НАЗК, ДБР, а також доказах, самостійно зібраних прокурором САП. Підставою для початку моніторингу став також журналістський сюжет. ВАКС визнав необґрунтованими та стягнув: 1/2 квартири в Харкові; автомобіль Lexus LX; частину автомобіля Mercedes-Benz GLE 43 AMG; іншу квартиру в Харкові – у повному обсязі (загальна вартість – 6 млн 487 тис. грн).</w:t>
      </w:r>
    </w:p>
    <w:p>
      <w:pPr>
        <w:pStyle w:val="Normal"/>
        <w:ind w:firstLine="709"/>
        <w:jc w:val="both"/>
        <w:rPr/>
      </w:pPr>
      <w:r>
        <w:rPr>
          <w:b/>
          <w:bCs/>
        </w:rPr>
        <w:t xml:space="preserve">12. </w:t>
      </w:r>
      <w:r>
        <w:rPr/>
        <w:t>За матеріалами моніторингу способу життя, проведеного НАЗК, САП звернулася до ВАКС з позовом про визнання необґрунтованими активів колишнього заступника начальника Львівського обласного ТЦК та СП. Загальна вартість активів становить понад 7,4 млн грн. Під час моніторингу НАЗК встановило, що у 2021–2023 роках експосадовець набув активи, які оформив на родичів: автомобіль MERCEDES-BENZ GL 350 CDI (зареєстрований на батька); автомобіль NISSAN JUKE (зареєстрований на сестру); земельну ділянку та житловий будинок (оформлені на матір дружини). Встановлено, що фактично зазначеними автомобілями користувалися сам експосадовець та його дружина. Аналіз доходів і видатків свідчить про відсутність достатніх законних доходів. Позов ґрунтувався на матеріалах НАЗК, доказах прокурора САП та матеріалах слідства Територіального управління ДБР у м. Львові. ВАКС наклав арешт на зазначене майно.</w:t>
      </w:r>
    </w:p>
    <w:p>
      <w:pPr>
        <w:pStyle w:val="Normal"/>
        <w:ind w:firstLine="709"/>
        <w:jc w:val="both"/>
        <w:rPr/>
      </w:pPr>
      <w:r>
        <w:rPr>
          <w:b/>
          <w:bCs/>
        </w:rPr>
        <w:t xml:space="preserve">13. </w:t>
      </w:r>
      <w:r>
        <w:rPr/>
        <w:t>Прокурор Слобожанської окружної прокуратури, у тому числі на підставі матеріалів повної перевірки декларації НАЗК, повідомив про підозру депутату однієї із сільських рад Дніпропетровської області у недостовірному декларуванні. За результатами повної перевірки декларації за 2023 рік НАЗК встановило, що депутат приховав від декларування відомості про: 42 земельні ділянки загальною площею майже 88 га (розташовані у Дніпропетровській та Полтавській областях; 11 належать йому на праві власності, 31 – у користуванні; загальна вартість перевищує 2,5 млн грн); 4 транспортні засоби (легкові автомобілі, мотоцикл та вантажний фургон). Крім того, декларант зазначив недостовірні відомості про вартість власних транспортних засобів (розбіжність понад 740 тис. грн). Розмір недостовірних відомостей – майже 3,5 млн грн. Інкримінується за частиною першою статті 366-2 КК України. Досудове розслідування здійснюють слідчі Відділення поліції № 4 Дніпровського РУП № 2 ГУНП в Дніпропетровській області.</w:t>
      </w:r>
    </w:p>
    <w:p>
      <w:pPr>
        <w:pStyle w:val="Normal"/>
        <w:ind w:firstLine="709"/>
        <w:jc w:val="both"/>
        <w:rPr/>
      </w:pPr>
      <w:r>
        <w:rPr>
          <w:b/>
          <w:bCs/>
        </w:rPr>
        <w:t xml:space="preserve">14. </w:t>
      </w:r>
      <w:r>
        <w:rPr/>
        <w:t>У липні 2026 року серед ТОП-порушень за результатами повних перевірок: колишній перший заступник директора департаменту логістики – начальник управління тилового забезпечення ГУ Національної гвардії України (недостовірні відомості на понад 3,5 млн грн та необґрунтованість активів на 4,3 млн грн; не вказав понад 1,1 млн грн на банківських рахунках, не підтвердив законність походження понад 720 тис. грн готівки, приховав фінансове зобов’язання перед нерезидентом); колишній суддя Восьмого апеляційного адміністративного суду (недостовірні відомості на понад 4,3 млн грн; не вказав понад 1 млн грн доходу з невстановлених джерел, за які придбано будинок та земельну ділянку у Львові); депутат Закарпатської обласної ради (ознаки недостовірних відомостей на понад 83,8 млн грн – не підтверджено джерела заощаджень); колишній начальник Херсонського обласного управління лісового та мисливського господарства (недостовірні відомості сукупно на понад 38 млн грн); депутат Троїцької сільської ради (недостовірні відомості на понад 24,7 млн грн – 156 земельних ділянок).</w:t>
      </w:r>
    </w:p>
    <w:p>
      <w:pPr>
        <w:pStyle w:val="Normal"/>
        <w:spacing w:before="0" w:after="120"/>
        <w:ind w:firstLine="708"/>
        <w:jc w:val="both"/>
        <w:rPr/>
      </w:pPr>
      <w:r>
        <w:rPr>
          <w:b/>
          <w:bCs/>
        </w:rPr>
        <w:t xml:space="preserve">15. </w:t>
      </w:r>
      <w:r>
        <w:rPr/>
        <w:t>За результатами контролів щодо повноти заповнення декларацій НАЗК протягом ІІІ кварталу суди притягували посадовців до адміністративної відповідальності за частиною четвертою статті 172-6 КУпАП. Зокрема, депутата із Закарпаття засудили за недостовірне декларування; три депутати отримали вироки за недостовірне декларування (порушення на понад 27,7 млн грн). НАЗК продовжувало направляти до Національної поліції України обґрунтовані висновки щодо внесення недостовірних відомостей у декларації (як з ознаками адміністративних, так і кримінальних правопорушень).</w:t>
      </w:r>
    </w:p>
    <w:p>
      <w:pPr>
        <w:pStyle w:val="Normal"/>
        <w:ind w:firstLine="708"/>
        <w:jc w:val="both"/>
        <w:rPr/>
      </w:pPr>
      <w:r>
        <w:rPr>
          <w:b/>
          <w:bCs/>
        </w:rPr>
        <w:t>Типові порушення, які продовжують фіксувати НАЗК протягом ІІІ кварталу 2026 року:</w:t>
      </w:r>
    </w:p>
    <w:p>
      <w:pPr>
        <w:pStyle w:val="ListParagraph"/>
        <w:numPr>
          <w:ilvl w:val="0"/>
          <w:numId w:val="1"/>
        </w:numPr>
        <w:ind w:firstLine="851" w:start="0"/>
        <w:jc w:val="both"/>
        <w:rPr/>
      </w:pPr>
      <w:r>
        <w:rPr/>
        <w:t>оформлення майна (квартири, будинки, автомобілі, земельні ділянки, об’єкти незавершеного будівництва) на родичів (дружину, матір, тещу, сина, вітчима, сестру, колишню дружину) при збереженні фактичного контролю, користування та розпорядження;</w:t>
      </w:r>
    </w:p>
    <w:p>
      <w:pPr>
        <w:pStyle w:val="ListParagraph"/>
        <w:numPr>
          <w:ilvl w:val="0"/>
          <w:numId w:val="1"/>
        </w:numPr>
        <w:ind w:firstLine="851" w:start="0"/>
        <w:jc w:val="both"/>
        <w:rPr/>
      </w:pPr>
      <w:r>
        <w:rPr/>
        <w:t> </w:t>
      </w:r>
      <w:r>
        <w:rPr/>
        <w:t>заниження вартості активів у договорах купівлі-продажу порівняно з ринковою вартістю;</w:t>
      </w:r>
    </w:p>
    <w:p>
      <w:pPr>
        <w:pStyle w:val="ListParagraph"/>
        <w:numPr>
          <w:ilvl w:val="0"/>
          <w:numId w:val="1"/>
        </w:numPr>
        <w:ind w:firstLine="851" w:start="0"/>
        <w:jc w:val="both"/>
        <w:rPr/>
      </w:pPr>
      <w:r>
        <w:rPr/>
        <w:t>приховування корпоративних прав, фінансових зобов’язань, доходів (у тому числі від третіх осіб), готівки та коштів на банківських рахунках (включаючи закордонні);</w:t>
      </w:r>
    </w:p>
    <w:p>
      <w:pPr>
        <w:pStyle w:val="ListParagraph"/>
        <w:numPr>
          <w:ilvl w:val="0"/>
          <w:numId w:val="1"/>
        </w:numPr>
        <w:ind w:firstLine="851" w:start="0"/>
        <w:jc w:val="both"/>
        <w:rPr/>
      </w:pPr>
      <w:r>
        <w:rPr/>
        <w:t>завищення розміру готівкових заощаджень, які не підтверджуються законними доходами;</w:t>
      </w:r>
    </w:p>
    <w:p>
      <w:pPr>
        <w:pStyle w:val="ListParagraph"/>
        <w:numPr>
          <w:ilvl w:val="0"/>
          <w:numId w:val="1"/>
        </w:numPr>
        <w:ind w:firstLine="851" w:start="0"/>
        <w:jc w:val="both"/>
        <w:rPr/>
      </w:pPr>
      <w:r>
        <w:rPr/>
        <w:t>набуття активів, вартість яких суттєво перевищує підтверджені законні доходи родини (ознаки необґрунтованих активів та незаконного збагачення).</w:t>
      </w:r>
    </w:p>
    <w:p>
      <w:pPr>
        <w:pStyle w:val="ListParagraph"/>
        <w:numPr>
          <w:ilvl w:val="0"/>
          <w:numId w:val="0"/>
        </w:numPr>
        <w:ind w:hanging="0" w:start="0"/>
        <w:jc w:val="both"/>
        <w:rPr/>
      </w:pPr>
      <w:r>
        <w:rPr/>
      </w:r>
    </w:p>
    <w:p>
      <w:pPr>
        <w:pStyle w:val="ListParagraph"/>
        <w:ind w:start="851"/>
        <w:jc w:val="both"/>
        <w:rPr/>
      </w:pPr>
      <w:r>
        <w:rPr/>
      </w:r>
    </w:p>
    <w:p>
      <w:pPr>
        <w:pStyle w:val="ListParagraph"/>
        <w:ind w:start="851"/>
        <w:jc w:val="both"/>
        <w:rPr/>
      </w:pPr>
      <w:r>
        <w:rPr/>
      </w:r>
    </w:p>
    <w:p>
      <w:pPr>
        <w:pStyle w:val="Normal"/>
        <w:ind w:firstLine="708"/>
        <w:jc w:val="both"/>
        <w:rPr/>
      </w:pPr>
      <w:r>
        <w:rPr>
          <w:b/>
          <w:bCs/>
        </w:rPr>
        <w:t>Працівникам системи МВС рекомендується:</w:t>
      </w:r>
    </w:p>
    <w:p>
      <w:pPr>
        <w:pStyle w:val="ListParagraph"/>
        <w:numPr>
          <w:ilvl w:val="0"/>
          <w:numId w:val="1"/>
        </w:numPr>
        <w:ind w:firstLine="851" w:start="0"/>
        <w:jc w:val="both"/>
        <w:rPr/>
      </w:pPr>
      <w:r>
        <w:rPr/>
        <w:t>ретельно перевіряти повноту та достовірність відомостей у деклараціях перед їх поданням;</w:t>
      </w:r>
    </w:p>
    <w:p>
      <w:pPr>
        <w:pStyle w:val="ListParagraph"/>
        <w:numPr>
          <w:ilvl w:val="0"/>
          <w:numId w:val="1"/>
        </w:numPr>
        <w:ind w:firstLine="851" w:start="0"/>
        <w:jc w:val="both"/>
        <w:rPr/>
      </w:pPr>
      <w:r>
        <w:rPr/>
        <w:t>своєчасно відображати всі активи (у тому числі користування та майнові права), доходи, зобов’язання та відомості про членів сім’ї;</w:t>
      </w:r>
    </w:p>
    <w:p>
      <w:pPr>
        <w:pStyle w:val="ListParagraph"/>
        <w:numPr>
          <w:ilvl w:val="0"/>
          <w:numId w:val="1"/>
        </w:numPr>
        <w:ind w:firstLine="851" w:start="0"/>
        <w:jc w:val="both"/>
        <w:rPr/>
      </w:pPr>
      <w:r>
        <w:rPr/>
        <w:t>не оформлювати майно на близьких осіб з метою приховування фактичного володіння чи користування;</w:t>
      </w:r>
    </w:p>
    <w:p>
      <w:pPr>
        <w:pStyle w:val="ListParagraph"/>
        <w:numPr>
          <w:ilvl w:val="0"/>
          <w:numId w:val="1"/>
        </w:numPr>
        <w:ind w:firstLine="851" w:start="0"/>
        <w:jc w:val="both"/>
        <w:rPr/>
      </w:pPr>
      <w:r>
        <w:rPr/>
        <w:t>підтверджувати законність джерел походження коштів, використаних на придбання активів;</w:t>
      </w:r>
    </w:p>
    <w:p>
      <w:pPr>
        <w:pStyle w:val="ListParagraph"/>
        <w:numPr>
          <w:ilvl w:val="0"/>
          <w:numId w:val="1"/>
        </w:numPr>
        <w:ind w:firstLine="851" w:start="0"/>
        <w:jc w:val="both"/>
        <w:rPr/>
      </w:pPr>
      <w:r>
        <w:rPr/>
        <w:t>уникати ситуацій, що можуть бути кваліфіковані як необґрунтовані активи чи незаконне збагачення.</w:t>
      </w:r>
    </w:p>
    <w:p>
      <w:pPr>
        <w:pStyle w:val="Normal"/>
        <w:spacing w:before="0" w:after="200"/>
        <w:ind w:start="708"/>
        <w:jc w:val="both"/>
        <w:rPr/>
      </w:pPr>
      <w:r>
        <w:rPr/>
      </w:r>
    </w:p>
    <w:p>
      <w:pPr>
        <w:pStyle w:val="Normal"/>
        <w:spacing w:before="0" w:after="200"/>
        <w:ind w:start="708"/>
        <w:jc w:val="both"/>
        <w:rPr/>
      </w:pPr>
      <w:r>
        <w:rPr/>
      </w:r>
    </w:p>
    <w:p>
      <w:pPr>
        <w:pStyle w:val="Normal"/>
        <w:spacing w:before="200" w:after="0"/>
        <w:jc w:val="end"/>
        <w:rPr/>
      </w:pPr>
      <w:r>
        <w:rPr>
          <w:b/>
          <w:bCs/>
        </w:rPr>
        <w:t>Управління запобігання корупції МВС</w:t>
      </w:r>
    </w:p>
    <w:p>
      <w:pPr>
        <w:pStyle w:val="Normal"/>
        <w:spacing w:before="160" w:after="0"/>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08" w:top="1134" w:footer="708" w:bottom="1134"/>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Times New Roman">
    <w:charset w:val="01" w:characterSet="utf-8"/>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952708057"/>
    </w:sdtPr>
    <w:sdtContent>
      <w:p>
        <w:pPr>
          <w:pStyle w:val="Header"/>
          <w:jc w:val="center"/>
          <w:rPr/>
        </w:pPr>
        <w:r>
          <w:rPr/>
          <w:fldChar w:fldCharType="begin"/>
        </w:r>
        <w:r>
          <w:rPr/>
          <w:instrText xml:space="preserve"> PAGE </w:instrText>
        </w:r>
        <w:r>
          <w:rPr/>
          <w:fldChar w:fldCharType="separate"/>
        </w:r>
        <w:r>
          <w:rPr/>
          <w:t>6</w:t>
        </w:r>
        <w:r>
          <w:rPr/>
          <w:fldChar w:fldCharType="end"/>
        </w:r>
      </w:p>
    </w:sdtContent>
  </w:sdt>
  <w:p>
    <w:pPr>
      <w:pStyle w:val="Normal"/>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1428" w:hanging="360"/>
      </w:pPr>
      <w:rPr>
        <w:rFonts w:ascii="Symbol" w:hAnsi="Symbol" w:cs="Symbol" w:hint="default"/>
      </w:rPr>
    </w:lvl>
    <w:lvl w:ilvl="1">
      <w:start w:val="1"/>
      <w:numFmt w:val="bullet"/>
      <w:lvlText w:val="o"/>
      <w:lvlJc w:val="start"/>
      <w:pPr>
        <w:tabs>
          <w:tab w:val="num" w:pos="0"/>
        </w:tabs>
        <w:ind w:start="2148" w:hanging="360"/>
      </w:pPr>
      <w:rPr>
        <w:rFonts w:ascii="Courier New" w:hAnsi="Courier New" w:cs="Courier New" w:hint="default"/>
      </w:rPr>
    </w:lvl>
    <w:lvl w:ilvl="2">
      <w:start w:val="1"/>
      <w:numFmt w:val="bullet"/>
      <w:lvlText w:val=""/>
      <w:lvlJc w:val="start"/>
      <w:pPr>
        <w:tabs>
          <w:tab w:val="num" w:pos="0"/>
        </w:tabs>
        <w:ind w:start="2868" w:hanging="360"/>
      </w:pPr>
      <w:rPr>
        <w:rFonts w:ascii="Wingdings" w:hAnsi="Wingdings" w:cs="Wingdings" w:hint="default"/>
      </w:rPr>
    </w:lvl>
    <w:lvl w:ilvl="3">
      <w:start w:val="1"/>
      <w:numFmt w:val="bullet"/>
      <w:lvlText w:val=""/>
      <w:lvlJc w:val="start"/>
      <w:pPr>
        <w:tabs>
          <w:tab w:val="num" w:pos="0"/>
        </w:tabs>
        <w:ind w:start="3588" w:hanging="360"/>
      </w:pPr>
      <w:rPr>
        <w:rFonts w:ascii="Symbol" w:hAnsi="Symbol" w:cs="Symbol" w:hint="default"/>
      </w:rPr>
    </w:lvl>
    <w:lvl w:ilvl="4">
      <w:start w:val="1"/>
      <w:numFmt w:val="bullet"/>
      <w:lvlText w:val="o"/>
      <w:lvlJc w:val="start"/>
      <w:pPr>
        <w:tabs>
          <w:tab w:val="num" w:pos="0"/>
        </w:tabs>
        <w:ind w:start="4308" w:hanging="360"/>
      </w:pPr>
      <w:rPr>
        <w:rFonts w:ascii="Courier New" w:hAnsi="Courier New" w:cs="Courier New" w:hint="default"/>
      </w:rPr>
    </w:lvl>
    <w:lvl w:ilvl="5">
      <w:start w:val="1"/>
      <w:numFmt w:val="bullet"/>
      <w:lvlText w:val=""/>
      <w:lvlJc w:val="start"/>
      <w:pPr>
        <w:tabs>
          <w:tab w:val="num" w:pos="0"/>
        </w:tabs>
        <w:ind w:start="5028" w:hanging="360"/>
      </w:pPr>
      <w:rPr>
        <w:rFonts w:ascii="Wingdings" w:hAnsi="Wingdings" w:cs="Wingdings" w:hint="default"/>
      </w:rPr>
    </w:lvl>
    <w:lvl w:ilvl="6">
      <w:start w:val="1"/>
      <w:numFmt w:val="bullet"/>
      <w:lvlText w:val=""/>
      <w:lvlJc w:val="start"/>
      <w:pPr>
        <w:tabs>
          <w:tab w:val="num" w:pos="0"/>
        </w:tabs>
        <w:ind w:start="5748" w:hanging="360"/>
      </w:pPr>
      <w:rPr>
        <w:rFonts w:ascii="Symbol" w:hAnsi="Symbol" w:cs="Symbol" w:hint="default"/>
      </w:rPr>
    </w:lvl>
    <w:lvl w:ilvl="7">
      <w:start w:val="1"/>
      <w:numFmt w:val="bullet"/>
      <w:lvlText w:val="o"/>
      <w:lvlJc w:val="start"/>
      <w:pPr>
        <w:tabs>
          <w:tab w:val="num" w:pos="0"/>
        </w:tabs>
        <w:ind w:start="6468" w:hanging="360"/>
      </w:pPr>
      <w:rPr>
        <w:rFonts w:ascii="Courier New" w:hAnsi="Courier New" w:cs="Courier New" w:hint="default"/>
      </w:rPr>
    </w:lvl>
    <w:lvl w:ilvl="8">
      <w:start w:val="1"/>
      <w:numFmt w:val="bullet"/>
      <w:lvlText w:val=""/>
      <w:lvlJc w:val="start"/>
      <w:pPr>
        <w:tabs>
          <w:tab w:val="num" w:pos="0"/>
        </w:tabs>
        <w:ind w:start="7188"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8"/>
        <w:szCs w:val="28"/>
        <w:lang w:val="uk-UA" w:eastAsia="uk-UA"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Times New Roman" w:cs="Times New Roman"/>
      <w:color w:val="auto"/>
      <w:kern w:val="0"/>
      <w:sz w:val="28"/>
      <w:szCs w:val="28"/>
      <w:lang w:val="uk-UA" w:eastAsia="uk-UA" w:bidi="ar-SA"/>
    </w:rPr>
  </w:style>
  <w:style w:type="paragraph" w:styleId="Heading1">
    <w:name w:val="heading 1"/>
    <w:uiPriority w:val="9"/>
    <w:qFormat/>
    <w:pPr>
      <w:widowControl/>
      <w:suppressAutoHyphens w:val="true"/>
      <w:bidi w:val="0"/>
      <w:spacing w:before="0" w:after="0"/>
      <w:jc w:val="start"/>
      <w:outlineLvl w:val="0"/>
    </w:pPr>
    <w:rPr>
      <w:rFonts w:ascii="Times New Roman" w:hAnsi="Times New Roman" w:eastAsia="Times New Roman" w:cs="Times New Roman"/>
      <w:color w:val="2E74B5"/>
      <w:kern w:val="0"/>
      <w:sz w:val="32"/>
      <w:szCs w:val="32"/>
      <w:lang w:val="uk-UA" w:eastAsia="uk-UA" w:bidi="ar-SA"/>
    </w:rPr>
  </w:style>
  <w:style w:type="paragraph" w:styleId="Heading2">
    <w:name w:val="heading 2"/>
    <w:uiPriority w:val="9"/>
    <w:semiHidden/>
    <w:unhideWhenUsed/>
    <w:qFormat/>
    <w:pPr>
      <w:widowControl/>
      <w:suppressAutoHyphens w:val="true"/>
      <w:bidi w:val="0"/>
      <w:spacing w:before="0" w:after="0"/>
      <w:jc w:val="start"/>
      <w:outlineLvl w:val="1"/>
    </w:pPr>
    <w:rPr>
      <w:rFonts w:ascii="Times New Roman" w:hAnsi="Times New Roman" w:eastAsia="Times New Roman" w:cs="Times New Roman"/>
      <w:color w:val="2E74B5"/>
      <w:kern w:val="0"/>
      <w:sz w:val="26"/>
      <w:szCs w:val="26"/>
      <w:lang w:val="uk-UA" w:eastAsia="uk-UA" w:bidi="ar-SA"/>
    </w:rPr>
  </w:style>
  <w:style w:type="paragraph" w:styleId="Heading3">
    <w:name w:val="heading 3"/>
    <w:uiPriority w:val="9"/>
    <w:semiHidden/>
    <w:unhideWhenUsed/>
    <w:qFormat/>
    <w:pPr>
      <w:widowControl/>
      <w:suppressAutoHyphens w:val="true"/>
      <w:bidi w:val="0"/>
      <w:spacing w:before="0" w:after="0"/>
      <w:jc w:val="start"/>
      <w:outlineLvl w:val="2"/>
    </w:pPr>
    <w:rPr>
      <w:rFonts w:ascii="Times New Roman" w:hAnsi="Times New Roman" w:eastAsia="Times New Roman" w:cs="Times New Roman"/>
      <w:color w:val="1F4D78"/>
      <w:kern w:val="0"/>
      <w:sz w:val="24"/>
      <w:szCs w:val="24"/>
      <w:lang w:val="uk-UA" w:eastAsia="uk-UA" w:bidi="ar-SA"/>
    </w:rPr>
  </w:style>
  <w:style w:type="paragraph" w:styleId="Heading4">
    <w:name w:val="heading 4"/>
    <w:uiPriority w:val="9"/>
    <w:semiHidden/>
    <w:unhideWhenUsed/>
    <w:qFormat/>
    <w:pPr>
      <w:widowControl/>
      <w:suppressAutoHyphens w:val="true"/>
      <w:bidi w:val="0"/>
      <w:spacing w:before="0" w:after="0"/>
      <w:jc w:val="start"/>
      <w:outlineLvl w:val="3"/>
    </w:pPr>
    <w:rPr>
      <w:rFonts w:ascii="Times New Roman" w:hAnsi="Times New Roman" w:eastAsia="Times New Roman" w:cs="Times New Roman"/>
      <w:i/>
      <w:iCs/>
      <w:color w:val="2E74B5"/>
      <w:kern w:val="0"/>
      <w:sz w:val="28"/>
      <w:szCs w:val="28"/>
      <w:lang w:val="uk-UA" w:eastAsia="uk-UA" w:bidi="ar-SA"/>
    </w:rPr>
  </w:style>
  <w:style w:type="paragraph" w:styleId="Heading5">
    <w:name w:val="heading 5"/>
    <w:uiPriority w:val="9"/>
    <w:semiHidden/>
    <w:unhideWhenUsed/>
    <w:qFormat/>
    <w:pPr>
      <w:widowControl/>
      <w:suppressAutoHyphens w:val="true"/>
      <w:bidi w:val="0"/>
      <w:spacing w:before="0" w:after="0"/>
      <w:jc w:val="start"/>
      <w:outlineLvl w:val="4"/>
    </w:pPr>
    <w:rPr>
      <w:rFonts w:ascii="Times New Roman" w:hAnsi="Times New Roman" w:eastAsia="Times New Roman" w:cs="Times New Roman"/>
      <w:color w:val="2E74B5"/>
      <w:kern w:val="0"/>
      <w:sz w:val="28"/>
      <w:szCs w:val="28"/>
      <w:lang w:val="uk-UA" w:eastAsia="uk-UA" w:bidi="ar-SA"/>
    </w:rPr>
  </w:style>
  <w:style w:type="paragraph" w:styleId="Heading6">
    <w:name w:val="heading 6"/>
    <w:uiPriority w:val="9"/>
    <w:semiHidden/>
    <w:unhideWhenUsed/>
    <w:qFormat/>
    <w:pPr>
      <w:widowControl/>
      <w:suppressAutoHyphens w:val="true"/>
      <w:bidi w:val="0"/>
      <w:spacing w:before="0" w:after="0"/>
      <w:jc w:val="start"/>
      <w:outlineLvl w:val="5"/>
    </w:pPr>
    <w:rPr>
      <w:rFonts w:ascii="Times New Roman" w:hAnsi="Times New Roman" w:eastAsia="Times New Roman" w:cs="Times New Roman"/>
      <w:color w:val="1F4D78"/>
      <w:kern w:val="0"/>
      <w:sz w:val="28"/>
      <w:szCs w:val="28"/>
      <w:lang w:val="uk-UA" w:eastAsia="uk-UA"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user">
    <w:name w:val="Символи виноски (user)"/>
    <w:uiPriority w:val="99"/>
    <w:semiHidden/>
    <w:unhideWhenUsed/>
    <w:qFormat/>
    <w:rPr>
      <w:vertAlign w:val="superscript"/>
    </w:rPr>
  </w:style>
  <w:style w:type="character" w:styleId="Style8">
    <w:name w:val="Символи виноски"/>
    <w:qFormat/>
    <w:rPr>
      <w:vertAlign w:val="superscript"/>
    </w:rPr>
  </w:style>
  <w:style w:type="character" w:styleId="FootnoteReference">
    <w:name w:val="footnote reference"/>
    <w:rPr>
      <w:vertAlign w:val="superscript"/>
    </w:rPr>
  </w:style>
  <w:style w:type="character" w:styleId="Style9" w:customStyle="1">
    <w:name w:val="Текст виноски Знак"/>
    <w:uiPriority w:val="99"/>
    <w:semiHidden/>
    <w:unhideWhenUsed/>
    <w:qFormat/>
    <w:rPr>
      <w:sz w:val="20"/>
      <w:szCs w:val="20"/>
    </w:rPr>
  </w:style>
  <w:style w:type="character" w:styleId="user1">
    <w:name w:val="Символи кінцевої виноски (user)"/>
    <w:uiPriority w:val="99"/>
    <w:semiHidden/>
    <w:unhideWhenUsed/>
    <w:qFormat/>
    <w:rPr>
      <w:vertAlign w:val="superscript"/>
    </w:rPr>
  </w:style>
  <w:style w:type="character" w:styleId="Style10">
    <w:name w:val="Символи кінцевої виноски"/>
    <w:qFormat/>
    <w:rPr>
      <w:vertAlign w:val="superscript"/>
    </w:rPr>
  </w:style>
  <w:style w:type="character" w:styleId="EndnoteReference">
    <w:name w:val="endnote reference"/>
    <w:rPr>
      <w:vertAlign w:val="superscript"/>
    </w:rPr>
  </w:style>
  <w:style w:type="character" w:styleId="Style11" w:customStyle="1">
    <w:name w:val="Текст кінцевої виноски Знак"/>
    <w:uiPriority w:val="99"/>
    <w:semiHidden/>
    <w:unhideWhenUsed/>
    <w:qFormat/>
    <w:rPr>
      <w:sz w:val="20"/>
      <w:szCs w:val="20"/>
    </w:rPr>
  </w:style>
  <w:style w:type="character" w:styleId="Style12" w:customStyle="1">
    <w:name w:val="Верхній колонтитул Знак"/>
    <w:basedOn w:val="DefaultParagraphFont"/>
    <w:uiPriority w:val="99"/>
    <w:qFormat/>
    <w:rsid w:val="004f00a0"/>
    <w:rPr/>
  </w:style>
  <w:style w:type="character" w:styleId="Style13" w:customStyle="1">
    <w:name w:val="Нижній колонтитул Знак"/>
    <w:basedOn w:val="DefaultParagraphFont"/>
    <w:uiPriority w:val="99"/>
    <w:qFormat/>
    <w:rsid w:val="004f00a0"/>
    <w:rPr/>
  </w:style>
  <w:style w:type="paragraph" w:styleId="Style14">
    <w:name w:val="Заголовок"/>
    <w:basedOn w:val="Normal"/>
    <w:next w:val="BodyText"/>
    <w:qFormat/>
    <w:pPr>
      <w:keepNext w:val="true"/>
      <w:spacing w:before="240" w:after="120"/>
    </w:pPr>
    <w:rPr>
      <w:rFonts w:ascii="Carlito" w:hAnsi="Carlito"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5">
    <w:name w:val="Покажчик"/>
    <w:basedOn w:val="Normal"/>
    <w:qFormat/>
    <w:pPr>
      <w:suppressLineNumbers/>
    </w:pPr>
    <w:rPr>
      <w:rFonts w:cs="Noto Sans"/>
    </w:rPr>
  </w:style>
  <w:style w:type="paragraph" w:styleId="user2">
    <w:name w:val="Заголовок (user)"/>
    <w:basedOn w:val="Normal"/>
    <w:next w:val="BodyText"/>
    <w:qFormat/>
    <w:pPr>
      <w:keepNext w:val="true"/>
      <w:spacing w:before="240" w:after="120"/>
    </w:pPr>
    <w:rPr>
      <w:rFonts w:ascii="Carlito" w:hAnsi="Carlito" w:eastAsia="Noto Sans CJK SC" w:cs="Noto Sans"/>
      <w:sz w:val="28"/>
      <w:szCs w:val="28"/>
    </w:rPr>
  </w:style>
  <w:style w:type="paragraph" w:styleId="user3">
    <w:name w:val="Покажчик (user)"/>
    <w:basedOn w:val="Normal"/>
    <w:qFormat/>
    <w:pPr>
      <w:suppressLineNumbers/>
    </w:pPr>
    <w:rPr>
      <w:rFonts w:cs="Noto Sans"/>
    </w:rPr>
  </w:style>
  <w:style w:type="paragraph" w:styleId="Title">
    <w:name w:val="Title"/>
    <w:uiPriority w:val="10"/>
    <w:qFormat/>
    <w:pPr>
      <w:widowControl/>
      <w:suppressAutoHyphens w:val="true"/>
      <w:bidi w:val="0"/>
      <w:spacing w:before="0" w:after="0"/>
      <w:jc w:val="start"/>
    </w:pPr>
    <w:rPr>
      <w:rFonts w:ascii="Times New Roman" w:hAnsi="Times New Roman" w:eastAsia="Times New Roman" w:cs="Times New Roman"/>
      <w:color w:val="auto"/>
      <w:kern w:val="0"/>
      <w:sz w:val="56"/>
      <w:szCs w:val="56"/>
      <w:lang w:val="uk-UA" w:eastAsia="uk-UA" w:bidi="ar-SA"/>
    </w:rPr>
  </w:style>
  <w:style w:type="paragraph" w:styleId="1" w:customStyle="1">
    <w:name w:val="Строгий1"/>
    <w:qFormat/>
    <w:pPr>
      <w:widowControl/>
      <w:suppressAutoHyphens w:val="true"/>
      <w:bidi w:val="0"/>
      <w:spacing w:before="0" w:after="0"/>
      <w:jc w:val="start"/>
    </w:pPr>
    <w:rPr>
      <w:rFonts w:ascii="Times New Roman" w:hAnsi="Times New Roman" w:eastAsia="Times New Roman" w:cs="Times New Roman"/>
      <w:b/>
      <w:bCs/>
      <w:color w:val="auto"/>
      <w:kern w:val="0"/>
      <w:sz w:val="28"/>
      <w:szCs w:val="28"/>
      <w:lang w:val="uk-UA" w:eastAsia="uk-UA" w:bidi="ar-SA"/>
    </w:rPr>
  </w:style>
  <w:style w:type="paragraph" w:styleId="ListParagraph">
    <w:name w:val="List Paragraph"/>
    <w:qFormat/>
    <w:pPr>
      <w:widowControl/>
      <w:suppressAutoHyphens w:val="true"/>
      <w:bidi w:val="0"/>
      <w:spacing w:before="0" w:after="0"/>
      <w:jc w:val="start"/>
    </w:pPr>
    <w:rPr>
      <w:rFonts w:ascii="Times New Roman" w:hAnsi="Times New Roman" w:eastAsia="Times New Roman" w:cs="Times New Roman"/>
      <w:color w:val="auto"/>
      <w:kern w:val="0"/>
      <w:sz w:val="28"/>
      <w:szCs w:val="28"/>
      <w:lang w:val="uk-UA" w:eastAsia="uk-UA" w:bidi="ar-SA"/>
    </w:rPr>
  </w:style>
  <w:style w:type="paragraph" w:styleId="FootnoteText">
    <w:name w:val="footnote text"/>
    <w:link w:val="Style9"/>
    <w:uiPriority w:val="99"/>
    <w:semiHidden/>
    <w:unhideWhenUsed/>
    <w:pPr>
      <w:widowControl/>
      <w:suppressAutoHyphens w:val="true"/>
      <w:bidi w:val="0"/>
      <w:spacing w:before="0" w:after="0"/>
      <w:jc w:val="start"/>
    </w:pPr>
    <w:rPr>
      <w:rFonts w:ascii="Times New Roman" w:hAnsi="Times New Roman" w:eastAsia="Times New Roman" w:cs="Times New Roman"/>
      <w:color w:val="auto"/>
      <w:kern w:val="0"/>
      <w:sz w:val="20"/>
      <w:szCs w:val="20"/>
      <w:lang w:val="uk-UA" w:eastAsia="uk-UA" w:bidi="ar-SA"/>
    </w:rPr>
  </w:style>
  <w:style w:type="paragraph" w:styleId="EndnoteText">
    <w:name w:val="endnote text"/>
    <w:link w:val="Style11"/>
    <w:uiPriority w:val="99"/>
    <w:semiHidden/>
    <w:unhideWhenUsed/>
    <w:pPr>
      <w:widowControl/>
      <w:suppressAutoHyphens w:val="true"/>
      <w:bidi w:val="0"/>
      <w:spacing w:before="0" w:after="0"/>
      <w:jc w:val="start"/>
    </w:pPr>
    <w:rPr>
      <w:rFonts w:ascii="Times New Roman" w:hAnsi="Times New Roman" w:eastAsia="Times New Roman" w:cs="Times New Roman"/>
      <w:color w:val="auto"/>
      <w:kern w:val="0"/>
      <w:sz w:val="20"/>
      <w:szCs w:val="20"/>
      <w:lang w:val="uk-UA" w:eastAsia="uk-UA" w:bidi="ar-SA"/>
    </w:rPr>
  </w:style>
  <w:style w:type="paragraph" w:styleId="user4">
    <w:name w:val="Верхній і нижній колонтитули (user)"/>
    <w:basedOn w:val="Normal"/>
    <w:qFormat/>
    <w:pPr/>
    <w:rPr/>
  </w:style>
  <w:style w:type="paragraph" w:styleId="Style16">
    <w:name w:val="Верхній і нижній колонтитули"/>
    <w:basedOn w:val="Normal"/>
    <w:qFormat/>
    <w:pPr/>
    <w:rPr/>
  </w:style>
  <w:style w:type="paragraph" w:styleId="Header">
    <w:name w:val="header"/>
    <w:basedOn w:val="Normal"/>
    <w:link w:val="Style12"/>
    <w:uiPriority w:val="99"/>
    <w:unhideWhenUsed/>
    <w:rsid w:val="004f00a0"/>
    <w:pPr>
      <w:tabs>
        <w:tab w:val="clear" w:pos="708"/>
        <w:tab w:val="center" w:pos="4819" w:leader="none"/>
        <w:tab w:val="right" w:pos="9639" w:leader="none"/>
      </w:tabs>
    </w:pPr>
    <w:rPr/>
  </w:style>
  <w:style w:type="paragraph" w:styleId="Footer">
    <w:name w:val="footer"/>
    <w:basedOn w:val="Normal"/>
    <w:link w:val="Style13"/>
    <w:uiPriority w:val="99"/>
    <w:unhideWhenUsed/>
    <w:rsid w:val="004f00a0"/>
    <w:pPr>
      <w:tabs>
        <w:tab w:val="clear" w:pos="708"/>
        <w:tab w:val="center" w:pos="4819" w:leader="none"/>
        <w:tab w:val="right" w:pos="9639" w:leader="none"/>
      </w:tabs>
    </w:pPr>
    <w:rPr/>
  </w:style>
  <w:style w:type="numbering" w:styleId="user5" w:default="1">
    <w:name w:val="Без маркерів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Офіс">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390</TotalTime>
  <Application>Collabora_Office/25.04.8.0$Linux_X86_64 LibreOffice_project/d764cc96dc155acb64a991770f24c139516fc0e0</Application>
  <AppVersion>15.0000</AppVersion>
  <Pages>4</Pages>
  <Words>2048</Words>
  <Characters>12962</Characters>
  <CharactersWithSpaces>14995</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2026-10-05T12:20:00Z</dcterms:created>
  <dc:creator>Un-named</dc:creator>
  <dc:description/>
  <dc:language>uk-UA</dc:language>
  <cp:lastModifiedBy/>
  <cp:lastPrinted>2026-10-06T07:03:00Z</cp:lastPrinted>
  <dcterms:modified xsi:type="dcterms:W3CDTF">2026-10-08T12:09:05Z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ActionId">
    <vt:lpwstr>b70267ab-6548-45ef-afa0-a5d546d83e18</vt:lpwstr>
  </property>
  <property fmtid="{D5CDD505-2E9C-101B-9397-08002B2CF9AE}" pid="3" name="MSIP_Label_defa4170-0d19-0005-0004-bc88714345d2_ContentBits">
    <vt:lpwstr>0</vt:lpwstr>
  </property>
  <property fmtid="{D5CDD505-2E9C-101B-9397-08002B2CF9AE}" pid="4" name="MSIP_Label_defa4170-0d19-0005-0004-bc88714345d2_Enabled">
    <vt:lpwstr>true</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etDate">
    <vt:lpwstr>2026-10-05T12:22:37Z</vt:lpwstr>
  </property>
  <property fmtid="{D5CDD505-2E9C-101B-9397-08002B2CF9AE}" pid="8" name="MSIP_Label_defa4170-0d19-0005-0004-bc88714345d2_SiteId">
    <vt:lpwstr>269ae716-e3ac-43c3-afed-32aac9da268f</vt:lpwstr>
  </property>
  <property fmtid="{D5CDD505-2E9C-101B-9397-08002B2CF9AE}" pid="9" name="MSIP_Label_defa4170-0d19-0005-0004-bc88714345d2_Tag">
    <vt:lpwstr>10, 3, 0, 1</vt:lpwstr>
  </property>
</Properties>
</file>