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56A0B" w:rsidRPr="002902AC" w14:paraId="23EE44D1" w14:textId="587D3901">
      <w:pPr>
        <w:spacing w:before="0"/>
        <w:rPr>
          <w:rFonts w:ascii="Times New Roman" w:hAnsi="Times New Roman" w:cs="Times New Roman"/>
          <w:lang w:val="en-US"/>
        </w:rPr>
      </w:pPr>
      <w:r w:rsidRPr="002902AC">
        <w:rPr>
          <w:rFonts w:ascii="Times New Roman" w:hAnsi="Times New Roman" w:cs="Times New Roman"/>
        </w:rPr>
        <w:t>Договір №</w:t>
      </w:r>
      <w:r w:rsidRPr="002902AC">
        <w:rPr>
          <w:rFonts w:ascii="Times New Roman" w:hAnsi="Times New Roman" w:cs="Times New Roman"/>
          <w:lang w:val="en-US"/>
        </w:rPr>
        <w:t xml:space="preserve"> 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C6D9E1B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56A0B" w:rsidRPr="002902AC" w:rsidP="008D54AC" w14:paraId="26B6C34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D333614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756A0B" w:rsidRPr="002902AC" w:rsidP="008D54AC" w14:paraId="2457579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56A0B" w:rsidRPr="002902AC" w:rsidP="008D54AC" w14:paraId="45C6FC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756A0B" w:rsidRPr="002902AC" w:rsidP="008D54AC" w14:paraId="7DCE44D2" w14:textId="2F5C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«Послуги з заправки картриджів до принтерів» - за кодом ДК021:2015 – 50310000-1 (технічне обслуговування і ремонт офісної техніки) на загальну суму – 40</w:t>
            </w:r>
            <w:r w:rsidRPr="0029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320,00 (сорок тисяч триста двадцять грн., 00 коп.), у т. ч. ПДВ – 6</w:t>
            </w:r>
            <w:r w:rsidRPr="00290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720 грн. </w:t>
            </w:r>
          </w:p>
        </w:tc>
      </w:tr>
      <w:tr w14:paraId="3EC0BCE4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756A0B" w:rsidRPr="002902AC" w:rsidP="008D54AC" w14:paraId="60AE9EF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56A0B" w:rsidRPr="002902AC" w:rsidP="008D54AC" w14:paraId="261553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56A0B" w:rsidRPr="002902AC" w:rsidP="008D54AC" w14:paraId="1B3AED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72979DE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756A0B" w:rsidRPr="002902AC" w:rsidP="008D54AC" w14:paraId="031B494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56A0B" w:rsidRPr="002902AC" w:rsidP="008D54AC" w14:paraId="48D5EE9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56A0B" w:rsidRPr="002902AC" w:rsidP="008D54AC" w14:paraId="522F2E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56A0B" w:rsidRPr="002902AC" w14:paraId="5700C456" w14:textId="061068DC">
      <w:pPr>
        <w:rPr>
          <w:rFonts w:ascii="Times New Roman" w:hAnsi="Times New Roman" w:cs="Times New Roman"/>
          <w:lang w:val="en-US"/>
        </w:rPr>
      </w:pPr>
    </w:p>
    <w:p w:rsidR="00756A0B" w:rsidRPr="002902AC" w14:paraId="3E937040" w14:textId="39462729">
      <w:pPr>
        <w:rPr>
          <w:rFonts w:ascii="Times New Roman" w:hAnsi="Times New Roman" w:cs="Times New Roman"/>
          <w:lang w:val="en-US"/>
        </w:rPr>
      </w:pPr>
    </w:p>
    <w:p w:rsidR="00756A0B" w:rsidRPr="002902AC" w14:paraId="5359168D" w14:textId="1BC30414">
      <w:pPr>
        <w:rPr>
          <w:rFonts w:ascii="Times New Roman" w:hAnsi="Times New Roman" w:cs="Times New Roman"/>
          <w:lang w:val="en-US"/>
        </w:rPr>
      </w:pPr>
    </w:p>
    <w:p w:rsidR="00756A0B" w:rsidRPr="002902AC" w14:paraId="2380397A" w14:textId="0929B85E">
      <w:pPr>
        <w:rPr>
          <w:rFonts w:ascii="Times New Roman" w:hAnsi="Times New Roman" w:cs="Times New Roman"/>
          <w:lang w:val="en-US"/>
        </w:rPr>
      </w:pPr>
    </w:p>
    <w:p w:rsidR="00756A0B" w:rsidRPr="002902AC" w14:paraId="2092A6B9" w14:textId="3512C001">
      <w:pPr>
        <w:rPr>
          <w:rFonts w:ascii="Times New Roman" w:hAnsi="Times New Roman" w:cs="Times New Roman"/>
          <w:lang w:val="en-US"/>
        </w:rPr>
      </w:pPr>
    </w:p>
    <w:p w:rsidR="00756A0B" w:rsidRPr="002902AC" w14:paraId="2B5CB411" w14:textId="1E74B184">
      <w:pPr>
        <w:rPr>
          <w:rFonts w:ascii="Times New Roman" w:hAnsi="Times New Roman" w:cs="Times New Roman"/>
          <w:lang w:val="en-US"/>
        </w:rPr>
      </w:pPr>
    </w:p>
    <w:p w:rsidR="00756A0B" w:rsidRPr="002902AC" w14:paraId="7DCAD769" w14:textId="69B6DBC4">
      <w:pPr>
        <w:rPr>
          <w:rFonts w:ascii="Times New Roman" w:hAnsi="Times New Roman" w:cs="Times New Roman"/>
          <w:lang w:val="en-US"/>
        </w:rPr>
      </w:pPr>
    </w:p>
    <w:p w:rsidR="00756A0B" w:rsidRPr="002902AC" w14:paraId="2719DB86" w14:textId="26077E0C">
      <w:pPr>
        <w:rPr>
          <w:rFonts w:ascii="Times New Roman" w:hAnsi="Times New Roman" w:cs="Times New Roman"/>
          <w:lang w:val="en-US"/>
        </w:rPr>
      </w:pPr>
    </w:p>
    <w:p w:rsidR="00756A0B" w:rsidRPr="002902AC" w14:paraId="087B4816" w14:textId="7C893088">
      <w:pPr>
        <w:rPr>
          <w:rFonts w:ascii="Times New Roman" w:hAnsi="Times New Roman" w:cs="Times New Roman"/>
          <w:lang w:val="en-US"/>
        </w:rPr>
      </w:pPr>
    </w:p>
    <w:p w:rsidR="00756A0B" w:rsidRPr="002902AC" w14:paraId="3617C89E" w14:textId="49782EF0">
      <w:pPr>
        <w:rPr>
          <w:rFonts w:ascii="Times New Roman" w:hAnsi="Times New Roman" w:cs="Times New Roman"/>
          <w:lang w:val="en-US"/>
        </w:rPr>
      </w:pPr>
    </w:p>
    <w:p w:rsidR="00756A0B" w:rsidRPr="002902AC" w14:paraId="22AD895A" w14:textId="767B0534">
      <w:pPr>
        <w:rPr>
          <w:rFonts w:ascii="Times New Roman" w:hAnsi="Times New Roman" w:cs="Times New Roman"/>
          <w:lang w:val="en-US"/>
        </w:rPr>
      </w:pPr>
    </w:p>
    <w:p w:rsidR="00756A0B" w:rsidRPr="002902AC" w14:paraId="68838EFA" w14:textId="1A110D06">
      <w:pPr>
        <w:rPr>
          <w:rFonts w:ascii="Times New Roman" w:hAnsi="Times New Roman" w:cs="Times New Roman"/>
          <w:lang w:val="en-US"/>
        </w:rPr>
      </w:pPr>
    </w:p>
    <w:p w:rsidR="00756A0B" w:rsidRPr="002902AC" w14:paraId="1B2D70DB" w14:textId="394F3496">
      <w:pPr>
        <w:rPr>
          <w:rFonts w:ascii="Times New Roman" w:hAnsi="Times New Roman" w:cs="Times New Roman"/>
          <w:lang w:val="en-US"/>
        </w:rPr>
      </w:pPr>
    </w:p>
    <w:p w:rsidR="00756A0B" w:rsidRPr="002902AC" w14:paraId="2EA12CB8" w14:textId="783D5A98">
      <w:pPr>
        <w:rPr>
          <w:rFonts w:ascii="Times New Roman" w:hAnsi="Times New Roman" w:cs="Times New Roman"/>
          <w:lang w:val="en-US"/>
        </w:rPr>
      </w:pPr>
    </w:p>
    <w:p w:rsidR="00756A0B" w:rsidRPr="002902AC" w14:paraId="64C96B8F" w14:textId="1E302DFC">
      <w:pPr>
        <w:rPr>
          <w:rFonts w:ascii="Times New Roman" w:hAnsi="Times New Roman" w:cs="Times New Roman"/>
          <w:lang w:val="en-US"/>
        </w:rPr>
      </w:pPr>
    </w:p>
    <w:p w:rsidR="00756A0B" w:rsidRPr="002902AC" w:rsidP="00756A0B" w14:paraId="3960D8A4" w14:textId="2C7AEB76">
      <w:pPr>
        <w:jc w:val="both"/>
        <w:rPr>
          <w:rFonts w:ascii="Times New Roman" w:hAnsi="Times New Roman" w:cs="Times New Roman"/>
        </w:rPr>
      </w:pPr>
      <w:r w:rsidRPr="002902AC">
        <w:rPr>
          <w:rFonts w:ascii="Times New Roman" w:hAnsi="Times New Roman" w:cs="Times New Roman"/>
        </w:rPr>
        <w:t>Договір №ДН-45291657/ДП/204682</w:t>
      </w:r>
    </w:p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